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E4C2" w14:textId="338D7DE3" w:rsidR="00916E24" w:rsidRDefault="007812C1" w:rsidP="00332FEC">
      <w:pPr>
        <w:spacing w:after="0"/>
        <w:rPr>
          <w:rFonts w:ascii="Times New Roman" w:hAnsi="Times New Roman" w:cs="Times New Roman"/>
          <w:b/>
          <w:sz w:val="28"/>
          <w:szCs w:val="28"/>
        </w:rPr>
      </w:pPr>
      <w:r>
        <w:rPr>
          <w:rFonts w:ascii="Times New Roman" w:hAnsi="Times New Roman" w:cs="Times New Roman"/>
          <w:b/>
          <w:noProof/>
          <w:sz w:val="28"/>
          <w:szCs w:val="28"/>
          <w14:ligatures w14:val="standardContextual"/>
        </w:rPr>
        <w:drawing>
          <wp:anchor distT="0" distB="0" distL="114300" distR="114300" simplePos="0" relativeHeight="251658240" behindDoc="0" locked="0" layoutInCell="1" allowOverlap="1" wp14:anchorId="5CD553D2" wp14:editId="42A7F18D">
            <wp:simplePos x="0" y="0"/>
            <wp:positionH relativeFrom="column">
              <wp:posOffset>-50800</wp:posOffset>
            </wp:positionH>
            <wp:positionV relativeFrom="paragraph">
              <wp:posOffset>146050</wp:posOffset>
            </wp:positionV>
            <wp:extent cx="1312545" cy="1358900"/>
            <wp:effectExtent l="0" t="0" r="1905" b="0"/>
            <wp:wrapSquare wrapText="bothSides"/>
            <wp:docPr id="1627861203" name="Picture 1" descr="A person with a pipe in his mou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861203" name="Picture 1" descr="A person with a pipe in his mouth&#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545" cy="1358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 </w:t>
      </w:r>
    </w:p>
    <w:p w14:paraId="316B1379" w14:textId="228F22F0" w:rsidR="00916E24" w:rsidRDefault="00536BFC" w:rsidP="00536BFC">
      <w:pPr>
        <w:spacing w:after="0"/>
        <w:rPr>
          <w:rFonts w:ascii="Times New Roman" w:hAnsi="Times New Roman" w:cs="Times New Roman"/>
          <w:b/>
          <w:sz w:val="28"/>
          <w:szCs w:val="28"/>
        </w:rPr>
      </w:pPr>
      <w:r>
        <w:rPr>
          <w:rFonts w:ascii="Times New Roman" w:hAnsi="Times New Roman" w:cs="Times New Roman"/>
          <w:b/>
          <w:noProof/>
          <w:sz w:val="28"/>
          <w:szCs w:val="28"/>
        </w:rPr>
        <w:t xml:space="preserve">  </w:t>
      </w:r>
      <w:r>
        <w:rPr>
          <w:rFonts w:ascii="Times New Roman" w:hAnsi="Times New Roman" w:cs="Times New Roman"/>
          <w:b/>
          <w:noProof/>
          <w:sz w:val="28"/>
          <w:szCs w:val="28"/>
        </w:rPr>
        <w:drawing>
          <wp:inline distT="0" distB="0" distL="0" distR="0" wp14:anchorId="0C5ECF2E" wp14:editId="5595648F">
            <wp:extent cx="2559325" cy="821055"/>
            <wp:effectExtent l="0" t="0" r="0" b="0"/>
            <wp:docPr id="18676608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1642" cy="821798"/>
                    </a:xfrm>
                    <a:prstGeom prst="rect">
                      <a:avLst/>
                    </a:prstGeom>
                    <a:noFill/>
                  </pic:spPr>
                </pic:pic>
              </a:graphicData>
            </a:graphic>
          </wp:inline>
        </w:drawing>
      </w:r>
      <w:r>
        <w:rPr>
          <w:rFonts w:ascii="Times New Roman" w:hAnsi="Times New Roman" w:cs="Times New Roman"/>
          <w:b/>
          <w:noProof/>
          <w:sz w:val="28"/>
          <w:szCs w:val="28"/>
          <w14:ligatures w14:val="standardContextual"/>
        </w:rPr>
        <w:t xml:space="preserve">      </w:t>
      </w:r>
      <w:r w:rsidR="0054768D">
        <w:rPr>
          <w:rFonts w:ascii="Times New Roman" w:hAnsi="Times New Roman" w:cs="Times New Roman"/>
          <w:b/>
          <w:noProof/>
          <w:sz w:val="28"/>
          <w:szCs w:val="28"/>
          <w14:ligatures w14:val="standardContextual"/>
        </w:rPr>
        <w:drawing>
          <wp:inline distT="0" distB="0" distL="0" distR="0" wp14:anchorId="2EA0C5A1" wp14:editId="5BEFB1F9">
            <wp:extent cx="1423270" cy="1154430"/>
            <wp:effectExtent l="0" t="0" r="5715" b="7620"/>
            <wp:docPr id="240643919"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643919" name="Picture 2" descr="A black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27719" cy="1158038"/>
                    </a:xfrm>
                    <a:prstGeom prst="rect">
                      <a:avLst/>
                    </a:prstGeom>
                  </pic:spPr>
                </pic:pic>
              </a:graphicData>
            </a:graphic>
          </wp:inline>
        </w:drawing>
      </w:r>
    </w:p>
    <w:p w14:paraId="5F048D52" w14:textId="77BC34B7" w:rsidR="007812C1" w:rsidRDefault="007812C1" w:rsidP="00332FEC">
      <w:pPr>
        <w:spacing w:after="0"/>
        <w:rPr>
          <w:rFonts w:ascii="Times New Roman" w:hAnsi="Times New Roman" w:cs="Times New Roman"/>
          <w:b/>
          <w:sz w:val="28"/>
          <w:szCs w:val="28"/>
        </w:rPr>
      </w:pPr>
    </w:p>
    <w:p w14:paraId="57FC1FF8" w14:textId="5DAD1E41" w:rsidR="007812C1" w:rsidRDefault="007812C1" w:rsidP="007812C1">
      <w:pPr>
        <w:spacing w:after="0"/>
        <w:ind w:left="2880" w:firstLine="720"/>
        <w:rPr>
          <w:rFonts w:ascii="Times New Roman" w:hAnsi="Times New Roman" w:cs="Times New Roman"/>
          <w:b/>
          <w:sz w:val="28"/>
          <w:szCs w:val="28"/>
        </w:rPr>
      </w:pPr>
      <w:r>
        <w:rPr>
          <w:rFonts w:ascii="Times New Roman" w:hAnsi="Times New Roman" w:cs="Times New Roman"/>
          <w:b/>
          <w:sz w:val="28"/>
          <w:szCs w:val="28"/>
        </w:rPr>
        <w:t xml:space="preserve">                        </w:t>
      </w:r>
    </w:p>
    <w:p w14:paraId="0E63451F" w14:textId="6B75975A" w:rsidR="00332FEC" w:rsidRDefault="007812C1" w:rsidP="007812C1">
      <w:pPr>
        <w:tabs>
          <w:tab w:val="left" w:pos="3830"/>
        </w:tabs>
        <w:spacing w:after="0"/>
        <w:rPr>
          <w:rFonts w:ascii="Times New Roman" w:hAnsi="Times New Roman" w:cs="Times New Roman"/>
          <w:sz w:val="24"/>
          <w:szCs w:val="24"/>
        </w:rPr>
      </w:pPr>
      <w:r>
        <w:rPr>
          <w:rFonts w:ascii="Times New Roman" w:hAnsi="Times New Roman" w:cs="Times New Roman"/>
          <w:b/>
          <w:sz w:val="28"/>
          <w:szCs w:val="28"/>
        </w:rPr>
        <w:tab/>
      </w:r>
    </w:p>
    <w:p w14:paraId="1BBB3259" w14:textId="2DDD347E" w:rsidR="00332FEC" w:rsidRPr="00D33CD1" w:rsidRDefault="00916E24" w:rsidP="00D33CD1">
      <w:pPr>
        <w:spacing w:after="0"/>
        <w:rPr>
          <w:rFonts w:cstheme="minorHAnsi"/>
          <w:b/>
          <w:sz w:val="44"/>
          <w:szCs w:val="44"/>
        </w:rPr>
      </w:pPr>
      <w:r w:rsidRPr="00D33CD1">
        <w:rPr>
          <w:rFonts w:cstheme="minorHAnsi"/>
          <w:b/>
          <w:sz w:val="44"/>
          <w:szCs w:val="44"/>
        </w:rPr>
        <w:t xml:space="preserve">The </w:t>
      </w:r>
      <w:r w:rsidR="00332FEC" w:rsidRPr="00D33CD1">
        <w:rPr>
          <w:rFonts w:cstheme="minorHAnsi"/>
          <w:b/>
          <w:sz w:val="44"/>
          <w:szCs w:val="44"/>
        </w:rPr>
        <w:t>Benn Legacy</w:t>
      </w:r>
    </w:p>
    <w:p w14:paraId="7787389A" w14:textId="77777777" w:rsidR="00332FEC" w:rsidRPr="00251C4D" w:rsidRDefault="00332FEC" w:rsidP="00332FEC">
      <w:pPr>
        <w:spacing w:after="0"/>
        <w:rPr>
          <w:rFonts w:cstheme="minorHAnsi"/>
          <w:sz w:val="24"/>
          <w:szCs w:val="24"/>
        </w:rPr>
      </w:pPr>
    </w:p>
    <w:p w14:paraId="4C09096F" w14:textId="5F3E3EB5" w:rsidR="007630A5" w:rsidRPr="00251C4D" w:rsidRDefault="007812C1" w:rsidP="00332FEC">
      <w:pPr>
        <w:spacing w:after="0"/>
        <w:rPr>
          <w:rFonts w:cstheme="minorHAnsi"/>
          <w:sz w:val="24"/>
          <w:szCs w:val="24"/>
        </w:rPr>
      </w:pPr>
      <w:r w:rsidRPr="00251C4D">
        <w:rPr>
          <w:rFonts w:cstheme="minorHAnsi"/>
          <w:sz w:val="24"/>
          <w:szCs w:val="24"/>
        </w:rPr>
        <w:t>A conference</w:t>
      </w:r>
      <w:r w:rsidR="00251C4D" w:rsidRPr="00251C4D">
        <w:rPr>
          <w:rFonts w:cstheme="minorHAnsi"/>
          <w:sz w:val="24"/>
          <w:szCs w:val="24"/>
        </w:rPr>
        <w:t xml:space="preserve"> to be</w:t>
      </w:r>
      <w:r w:rsidRPr="00251C4D">
        <w:rPr>
          <w:rFonts w:cstheme="minorHAnsi"/>
          <w:sz w:val="24"/>
          <w:szCs w:val="24"/>
        </w:rPr>
        <w:t xml:space="preserve"> held </w:t>
      </w:r>
      <w:r w:rsidR="00536BFC">
        <w:rPr>
          <w:rFonts w:cstheme="minorHAnsi"/>
          <w:sz w:val="24"/>
          <w:szCs w:val="24"/>
        </w:rPr>
        <w:t>on 12-13</w:t>
      </w:r>
      <w:r w:rsidRPr="00251C4D">
        <w:rPr>
          <w:rFonts w:cstheme="minorHAnsi"/>
          <w:sz w:val="24"/>
          <w:szCs w:val="24"/>
        </w:rPr>
        <w:t xml:space="preserve"> April 2025 </w:t>
      </w:r>
      <w:r w:rsidR="0054768D">
        <w:rPr>
          <w:rFonts w:cstheme="minorHAnsi"/>
          <w:sz w:val="24"/>
          <w:szCs w:val="24"/>
        </w:rPr>
        <w:t xml:space="preserve">at the University of Westminster </w:t>
      </w:r>
      <w:r w:rsidR="00332FEC" w:rsidRPr="00251C4D">
        <w:rPr>
          <w:rFonts w:cstheme="minorHAnsi"/>
          <w:sz w:val="24"/>
          <w:szCs w:val="24"/>
        </w:rPr>
        <w:t>in commemoration of the 100</w:t>
      </w:r>
      <w:r w:rsidR="00332FEC" w:rsidRPr="00251C4D">
        <w:rPr>
          <w:rFonts w:cstheme="minorHAnsi"/>
          <w:sz w:val="24"/>
          <w:szCs w:val="24"/>
          <w:vertAlign w:val="superscript"/>
        </w:rPr>
        <w:t>th</w:t>
      </w:r>
      <w:r w:rsidR="00332FEC" w:rsidRPr="00251C4D">
        <w:rPr>
          <w:rFonts w:cstheme="minorHAnsi"/>
          <w:sz w:val="24"/>
          <w:szCs w:val="24"/>
        </w:rPr>
        <w:t xml:space="preserve"> anniversary of Tony Benn’s birth, looking at Benn’s life and legacy.  </w:t>
      </w:r>
    </w:p>
    <w:p w14:paraId="4523104E" w14:textId="77777777" w:rsidR="007630A5" w:rsidRPr="00251C4D" w:rsidRDefault="007630A5" w:rsidP="00332FEC">
      <w:pPr>
        <w:spacing w:after="0"/>
        <w:rPr>
          <w:rFonts w:cstheme="minorHAnsi"/>
          <w:sz w:val="24"/>
          <w:szCs w:val="24"/>
        </w:rPr>
      </w:pPr>
    </w:p>
    <w:p w14:paraId="7A9B8F90" w14:textId="57C356E3" w:rsidR="007630A5" w:rsidRPr="00251C4D" w:rsidRDefault="007630A5" w:rsidP="00332FEC">
      <w:pPr>
        <w:spacing w:after="0"/>
        <w:rPr>
          <w:rFonts w:cstheme="minorHAnsi"/>
          <w:sz w:val="24"/>
          <w:szCs w:val="24"/>
        </w:rPr>
      </w:pPr>
      <w:r w:rsidRPr="00251C4D">
        <w:rPr>
          <w:rFonts w:cstheme="minorHAnsi"/>
          <w:sz w:val="24"/>
          <w:szCs w:val="24"/>
        </w:rPr>
        <w:t>The issues to which Benn devoted his political life are, if anything, more burningly relevant today than they were when he died in 2014.  These include the relationship of people to power, peace in the Middle East, Britain and Europe, the state of the House of Lords and socialism within the Labour Party.</w:t>
      </w:r>
    </w:p>
    <w:p w14:paraId="64E335C5" w14:textId="77777777" w:rsidR="007630A5" w:rsidRPr="00251C4D" w:rsidRDefault="007630A5" w:rsidP="00332FEC">
      <w:pPr>
        <w:spacing w:after="0"/>
        <w:rPr>
          <w:rFonts w:cstheme="minorHAnsi"/>
          <w:sz w:val="24"/>
          <w:szCs w:val="24"/>
        </w:rPr>
      </w:pPr>
    </w:p>
    <w:p w14:paraId="19935599" w14:textId="3CDF7DA0" w:rsidR="00332FEC" w:rsidRPr="00251C4D" w:rsidRDefault="00332FEC" w:rsidP="00332FEC">
      <w:pPr>
        <w:spacing w:after="0"/>
        <w:rPr>
          <w:rFonts w:cstheme="minorHAnsi"/>
          <w:sz w:val="24"/>
          <w:szCs w:val="24"/>
        </w:rPr>
      </w:pPr>
      <w:r w:rsidRPr="00251C4D">
        <w:rPr>
          <w:rFonts w:cstheme="minorHAnsi"/>
          <w:sz w:val="24"/>
          <w:szCs w:val="24"/>
        </w:rPr>
        <w:t>In keeping with his principles, the conference aims to be inclusive, inviting contributions from the academy but also reaching out to trade unions and activist groups.</w:t>
      </w:r>
      <w:r w:rsidR="007812C1" w:rsidRPr="00251C4D">
        <w:rPr>
          <w:rFonts w:cstheme="minorHAnsi"/>
          <w:sz w:val="24"/>
          <w:szCs w:val="24"/>
        </w:rPr>
        <w:t xml:space="preserve"> To this end, there will be travel/accommodation bursaries to enable people to attend who are from groups not normally represented at conferences.</w:t>
      </w:r>
    </w:p>
    <w:p w14:paraId="3A655D32" w14:textId="77777777" w:rsidR="007630A5" w:rsidRPr="00251C4D" w:rsidRDefault="007630A5" w:rsidP="00332FEC">
      <w:pPr>
        <w:spacing w:after="0"/>
        <w:rPr>
          <w:rFonts w:cstheme="minorHAnsi"/>
          <w:sz w:val="24"/>
          <w:szCs w:val="24"/>
        </w:rPr>
      </w:pPr>
    </w:p>
    <w:p w14:paraId="53B981B4" w14:textId="0A98FF36" w:rsidR="00251C4D" w:rsidRPr="00251C4D" w:rsidRDefault="007630A5" w:rsidP="00251C4D">
      <w:pPr>
        <w:spacing w:after="0"/>
        <w:jc w:val="center"/>
        <w:rPr>
          <w:rFonts w:cstheme="minorHAnsi"/>
          <w:sz w:val="24"/>
          <w:szCs w:val="24"/>
        </w:rPr>
      </w:pPr>
      <w:r w:rsidRPr="00251C4D">
        <w:rPr>
          <w:rFonts w:cstheme="minorHAnsi"/>
          <w:sz w:val="24"/>
          <w:szCs w:val="24"/>
        </w:rPr>
        <w:t xml:space="preserve">Papers </w:t>
      </w:r>
      <w:r w:rsidR="00251C4D" w:rsidRPr="00251C4D">
        <w:rPr>
          <w:rFonts w:cstheme="minorHAnsi"/>
          <w:sz w:val="24"/>
          <w:szCs w:val="24"/>
        </w:rPr>
        <w:t>of 10-</w:t>
      </w:r>
      <w:r w:rsidR="00FE4726">
        <w:rPr>
          <w:rFonts w:cstheme="minorHAnsi"/>
          <w:sz w:val="24"/>
          <w:szCs w:val="24"/>
        </w:rPr>
        <w:t>20</w:t>
      </w:r>
      <w:r w:rsidR="00251C4D" w:rsidRPr="00251C4D">
        <w:rPr>
          <w:rFonts w:cstheme="minorHAnsi"/>
          <w:sz w:val="24"/>
          <w:szCs w:val="24"/>
        </w:rPr>
        <w:t xml:space="preserve"> minutes are welcomed on any aspect of Benn’s life and legacy.</w:t>
      </w:r>
    </w:p>
    <w:p w14:paraId="0701C35E" w14:textId="3717BDDA" w:rsidR="00332FEC" w:rsidRPr="00251C4D" w:rsidRDefault="00916E24" w:rsidP="00251C4D">
      <w:pPr>
        <w:spacing w:after="0"/>
        <w:jc w:val="center"/>
        <w:rPr>
          <w:rFonts w:cstheme="minorHAnsi"/>
          <w:sz w:val="24"/>
          <w:szCs w:val="24"/>
          <w:u w:val="single"/>
        </w:rPr>
      </w:pPr>
      <w:r w:rsidRPr="00251C4D">
        <w:rPr>
          <w:rFonts w:cstheme="minorHAnsi"/>
          <w:sz w:val="24"/>
          <w:szCs w:val="24"/>
          <w:u w:val="single"/>
        </w:rPr>
        <w:t>Topics m</w:t>
      </w:r>
      <w:r w:rsidR="00F50E9C">
        <w:rPr>
          <w:rFonts w:cstheme="minorHAnsi"/>
          <w:sz w:val="24"/>
          <w:szCs w:val="24"/>
          <w:u w:val="single"/>
        </w:rPr>
        <w:t>a</w:t>
      </w:r>
      <w:r w:rsidRPr="00251C4D">
        <w:rPr>
          <w:rFonts w:cstheme="minorHAnsi"/>
          <w:sz w:val="24"/>
          <w:szCs w:val="24"/>
          <w:u w:val="single"/>
        </w:rPr>
        <w:t>y include but are not limited to:</w:t>
      </w:r>
    </w:p>
    <w:p w14:paraId="69B08F17" w14:textId="77777777" w:rsidR="00332FEC" w:rsidRPr="00251C4D" w:rsidRDefault="00332FEC" w:rsidP="00332FEC">
      <w:pPr>
        <w:spacing w:after="0"/>
        <w:rPr>
          <w:rFonts w:cstheme="minorHAnsi"/>
          <w:sz w:val="24"/>
          <w:szCs w:val="24"/>
        </w:rPr>
      </w:pPr>
    </w:p>
    <w:p w14:paraId="631C0015" w14:textId="3E5AC604" w:rsidR="00332FEC" w:rsidRPr="00251C4D" w:rsidRDefault="00332FEC" w:rsidP="00332FEC">
      <w:pPr>
        <w:pStyle w:val="ListParagraph"/>
        <w:numPr>
          <w:ilvl w:val="0"/>
          <w:numId w:val="1"/>
        </w:numPr>
        <w:spacing w:after="0"/>
        <w:rPr>
          <w:rFonts w:cstheme="minorHAnsi"/>
          <w:sz w:val="24"/>
          <w:szCs w:val="24"/>
        </w:rPr>
      </w:pPr>
      <w:r w:rsidRPr="00251C4D">
        <w:rPr>
          <w:rFonts w:cstheme="minorHAnsi"/>
          <w:sz w:val="24"/>
          <w:szCs w:val="24"/>
        </w:rPr>
        <w:t>Congregationalism/nonconformist contribution to political thought</w:t>
      </w:r>
    </w:p>
    <w:p w14:paraId="4F22F4FA" w14:textId="0DA31E44" w:rsidR="00332FEC" w:rsidRPr="00251C4D" w:rsidRDefault="00332FEC" w:rsidP="00332FEC">
      <w:pPr>
        <w:pStyle w:val="ListParagraph"/>
        <w:numPr>
          <w:ilvl w:val="0"/>
          <w:numId w:val="1"/>
        </w:numPr>
        <w:spacing w:after="0"/>
        <w:rPr>
          <w:rFonts w:cstheme="minorHAnsi"/>
          <w:sz w:val="24"/>
          <w:szCs w:val="24"/>
        </w:rPr>
      </w:pPr>
      <w:r w:rsidRPr="00251C4D">
        <w:rPr>
          <w:rFonts w:cstheme="minorHAnsi"/>
          <w:sz w:val="24"/>
          <w:szCs w:val="24"/>
        </w:rPr>
        <w:t>Movement for Colonial Freedom</w:t>
      </w:r>
    </w:p>
    <w:p w14:paraId="72BD13BA" w14:textId="15F598EC" w:rsidR="00332FEC" w:rsidRPr="00251C4D" w:rsidRDefault="00332FEC" w:rsidP="00332FEC">
      <w:pPr>
        <w:pStyle w:val="ListParagraph"/>
        <w:numPr>
          <w:ilvl w:val="0"/>
          <w:numId w:val="1"/>
        </w:numPr>
        <w:spacing w:after="0"/>
        <w:rPr>
          <w:rFonts w:cstheme="minorHAnsi"/>
          <w:sz w:val="24"/>
          <w:szCs w:val="24"/>
        </w:rPr>
      </w:pPr>
      <w:r w:rsidRPr="00251C4D">
        <w:rPr>
          <w:rFonts w:cstheme="minorHAnsi"/>
          <w:sz w:val="24"/>
          <w:szCs w:val="24"/>
        </w:rPr>
        <w:t xml:space="preserve">The </w:t>
      </w:r>
      <w:r w:rsidR="00251C4D" w:rsidRPr="00251C4D">
        <w:rPr>
          <w:rFonts w:cstheme="minorHAnsi"/>
          <w:sz w:val="24"/>
          <w:szCs w:val="24"/>
        </w:rPr>
        <w:t>peerage</w:t>
      </w:r>
    </w:p>
    <w:p w14:paraId="605CBC81" w14:textId="3BF0593F" w:rsidR="00332FEC" w:rsidRPr="00251C4D" w:rsidRDefault="00332FEC" w:rsidP="00332FEC">
      <w:pPr>
        <w:pStyle w:val="ListParagraph"/>
        <w:numPr>
          <w:ilvl w:val="0"/>
          <w:numId w:val="1"/>
        </w:numPr>
        <w:spacing w:after="0"/>
        <w:rPr>
          <w:rFonts w:cstheme="minorHAnsi"/>
          <w:sz w:val="24"/>
          <w:szCs w:val="24"/>
        </w:rPr>
      </w:pPr>
      <w:r w:rsidRPr="00251C4D">
        <w:rPr>
          <w:rFonts w:cstheme="minorHAnsi"/>
          <w:sz w:val="24"/>
          <w:szCs w:val="24"/>
        </w:rPr>
        <w:t xml:space="preserve">Technology (notably the post office and </w:t>
      </w:r>
      <w:proofErr w:type="spellStart"/>
      <w:r w:rsidRPr="00251C4D">
        <w:rPr>
          <w:rFonts w:cstheme="minorHAnsi"/>
          <w:sz w:val="24"/>
          <w:szCs w:val="24"/>
        </w:rPr>
        <w:t>Mintech</w:t>
      </w:r>
      <w:proofErr w:type="spellEnd"/>
      <w:r w:rsidRPr="00251C4D">
        <w:rPr>
          <w:rFonts w:cstheme="minorHAnsi"/>
          <w:sz w:val="24"/>
          <w:szCs w:val="24"/>
        </w:rPr>
        <w:t>)</w:t>
      </w:r>
    </w:p>
    <w:p w14:paraId="252A84CF" w14:textId="46C46940" w:rsidR="00332FEC" w:rsidRPr="00251C4D" w:rsidRDefault="00332FEC" w:rsidP="00332FEC">
      <w:pPr>
        <w:pStyle w:val="ListParagraph"/>
        <w:numPr>
          <w:ilvl w:val="0"/>
          <w:numId w:val="1"/>
        </w:numPr>
        <w:spacing w:after="0"/>
        <w:rPr>
          <w:rFonts w:cstheme="minorHAnsi"/>
          <w:sz w:val="24"/>
          <w:szCs w:val="24"/>
        </w:rPr>
      </w:pPr>
      <w:r w:rsidRPr="00251C4D">
        <w:rPr>
          <w:rFonts w:cstheme="minorHAnsi"/>
          <w:sz w:val="24"/>
          <w:szCs w:val="24"/>
        </w:rPr>
        <w:t>1960s radicalism</w:t>
      </w:r>
    </w:p>
    <w:p w14:paraId="06AC8953" w14:textId="3C3BC075" w:rsidR="00332FEC" w:rsidRPr="00251C4D" w:rsidRDefault="00332FEC" w:rsidP="00332FEC">
      <w:pPr>
        <w:pStyle w:val="ListParagraph"/>
        <w:numPr>
          <w:ilvl w:val="0"/>
          <w:numId w:val="1"/>
        </w:numPr>
        <w:spacing w:after="0"/>
        <w:rPr>
          <w:rFonts w:cstheme="minorHAnsi"/>
          <w:sz w:val="24"/>
          <w:szCs w:val="24"/>
        </w:rPr>
      </w:pPr>
      <w:r w:rsidRPr="00251C4D">
        <w:rPr>
          <w:rFonts w:cstheme="minorHAnsi"/>
          <w:sz w:val="24"/>
          <w:szCs w:val="24"/>
        </w:rPr>
        <w:t>Referendum 1975 (and reflections on 2016)</w:t>
      </w:r>
    </w:p>
    <w:p w14:paraId="02604DD2" w14:textId="3FF9F975" w:rsidR="00332FEC" w:rsidRPr="00251C4D" w:rsidRDefault="00332FEC" w:rsidP="00332FEC">
      <w:pPr>
        <w:pStyle w:val="ListParagraph"/>
        <w:numPr>
          <w:ilvl w:val="0"/>
          <w:numId w:val="1"/>
        </w:numPr>
        <w:spacing w:after="0"/>
        <w:rPr>
          <w:rFonts w:cstheme="minorHAnsi"/>
          <w:sz w:val="24"/>
          <w:szCs w:val="24"/>
        </w:rPr>
      </w:pPr>
      <w:r w:rsidRPr="00251C4D">
        <w:rPr>
          <w:rFonts w:cstheme="minorHAnsi"/>
          <w:sz w:val="24"/>
          <w:szCs w:val="24"/>
        </w:rPr>
        <w:t>Manufacturing industry in the 1970s and 80s</w:t>
      </w:r>
    </w:p>
    <w:p w14:paraId="73DEEFEC" w14:textId="3DD45AEB" w:rsidR="00332FEC" w:rsidRPr="00251C4D" w:rsidRDefault="00332FEC" w:rsidP="00332FEC">
      <w:pPr>
        <w:pStyle w:val="ListParagraph"/>
        <w:numPr>
          <w:ilvl w:val="0"/>
          <w:numId w:val="1"/>
        </w:numPr>
        <w:spacing w:after="0"/>
        <w:rPr>
          <w:rFonts w:cstheme="minorHAnsi"/>
          <w:sz w:val="24"/>
          <w:szCs w:val="24"/>
        </w:rPr>
      </w:pPr>
      <w:r w:rsidRPr="00251C4D">
        <w:rPr>
          <w:rFonts w:cstheme="minorHAnsi"/>
          <w:sz w:val="24"/>
          <w:szCs w:val="24"/>
        </w:rPr>
        <w:t>Coal and the miner’s strike</w:t>
      </w:r>
    </w:p>
    <w:p w14:paraId="0C1E4CBA" w14:textId="2155E60B" w:rsidR="00332FEC" w:rsidRPr="00251C4D" w:rsidRDefault="00332FEC" w:rsidP="00332FEC">
      <w:pPr>
        <w:pStyle w:val="ListParagraph"/>
        <w:numPr>
          <w:ilvl w:val="0"/>
          <w:numId w:val="1"/>
        </w:numPr>
        <w:spacing w:after="0"/>
        <w:rPr>
          <w:rFonts w:cstheme="minorHAnsi"/>
          <w:sz w:val="24"/>
          <w:szCs w:val="24"/>
        </w:rPr>
      </w:pPr>
      <w:r w:rsidRPr="00251C4D">
        <w:rPr>
          <w:rFonts w:cstheme="minorHAnsi"/>
          <w:sz w:val="24"/>
          <w:szCs w:val="24"/>
        </w:rPr>
        <w:t>The Falklands War</w:t>
      </w:r>
    </w:p>
    <w:p w14:paraId="155B4756" w14:textId="1E681161" w:rsidR="00332FEC" w:rsidRPr="00251C4D" w:rsidRDefault="00332FEC" w:rsidP="00332FEC">
      <w:pPr>
        <w:pStyle w:val="ListParagraph"/>
        <w:numPr>
          <w:ilvl w:val="0"/>
          <w:numId w:val="1"/>
        </w:numPr>
        <w:spacing w:after="0"/>
        <w:rPr>
          <w:rFonts w:cstheme="minorHAnsi"/>
          <w:sz w:val="24"/>
          <w:szCs w:val="24"/>
        </w:rPr>
      </w:pPr>
      <w:r w:rsidRPr="00251C4D">
        <w:rPr>
          <w:rFonts w:cstheme="minorHAnsi"/>
          <w:sz w:val="24"/>
          <w:szCs w:val="24"/>
        </w:rPr>
        <w:t xml:space="preserve">Gulf War 1 </w:t>
      </w:r>
    </w:p>
    <w:p w14:paraId="1A1E4EA1" w14:textId="2E03740F" w:rsidR="00332FEC" w:rsidRPr="00251C4D" w:rsidRDefault="00332FEC" w:rsidP="00332FEC">
      <w:pPr>
        <w:pStyle w:val="ListParagraph"/>
        <w:numPr>
          <w:ilvl w:val="0"/>
          <w:numId w:val="1"/>
        </w:numPr>
        <w:spacing w:after="0"/>
        <w:rPr>
          <w:rFonts w:cstheme="minorHAnsi"/>
          <w:sz w:val="24"/>
          <w:szCs w:val="24"/>
        </w:rPr>
      </w:pPr>
      <w:r w:rsidRPr="00251C4D">
        <w:rPr>
          <w:rFonts w:cstheme="minorHAnsi"/>
          <w:sz w:val="24"/>
          <w:szCs w:val="24"/>
        </w:rPr>
        <w:t>Iraq, anti-war protests</w:t>
      </w:r>
    </w:p>
    <w:p w14:paraId="6069118B" w14:textId="2169B59C" w:rsidR="00332FEC" w:rsidRPr="00251C4D" w:rsidRDefault="00332FEC" w:rsidP="00332FEC">
      <w:pPr>
        <w:pStyle w:val="ListParagraph"/>
        <w:numPr>
          <w:ilvl w:val="0"/>
          <w:numId w:val="1"/>
        </w:numPr>
        <w:spacing w:after="0"/>
        <w:rPr>
          <w:rFonts w:cstheme="minorHAnsi"/>
          <w:sz w:val="24"/>
          <w:szCs w:val="24"/>
        </w:rPr>
      </w:pPr>
      <w:r w:rsidRPr="00251C4D">
        <w:rPr>
          <w:rFonts w:cstheme="minorHAnsi"/>
          <w:sz w:val="24"/>
          <w:szCs w:val="24"/>
        </w:rPr>
        <w:t>Radicals in the House of Commons</w:t>
      </w:r>
    </w:p>
    <w:p w14:paraId="69F5DB3F" w14:textId="560F391D" w:rsidR="00332FEC" w:rsidRPr="00251C4D" w:rsidRDefault="00251C4D" w:rsidP="00332FEC">
      <w:pPr>
        <w:pStyle w:val="ListParagraph"/>
        <w:numPr>
          <w:ilvl w:val="0"/>
          <w:numId w:val="1"/>
        </w:numPr>
        <w:spacing w:after="0"/>
        <w:rPr>
          <w:rFonts w:cstheme="minorHAnsi"/>
          <w:sz w:val="24"/>
          <w:szCs w:val="24"/>
        </w:rPr>
      </w:pPr>
      <w:r w:rsidRPr="00251C4D">
        <w:rPr>
          <w:rFonts w:cstheme="minorHAnsi"/>
          <w:sz w:val="24"/>
          <w:szCs w:val="24"/>
        </w:rPr>
        <w:t>Political d</w:t>
      </w:r>
      <w:r w:rsidR="00332FEC" w:rsidRPr="00251C4D">
        <w:rPr>
          <w:rFonts w:cstheme="minorHAnsi"/>
          <w:sz w:val="24"/>
          <w:szCs w:val="24"/>
        </w:rPr>
        <w:t>iaries</w:t>
      </w:r>
    </w:p>
    <w:p w14:paraId="3148125E" w14:textId="278B7098" w:rsidR="00251C4D" w:rsidRDefault="00332FEC" w:rsidP="00251C4D">
      <w:pPr>
        <w:pStyle w:val="ListParagraph"/>
        <w:numPr>
          <w:ilvl w:val="0"/>
          <w:numId w:val="1"/>
        </w:numPr>
        <w:spacing w:after="0"/>
        <w:rPr>
          <w:rFonts w:cstheme="minorHAnsi"/>
          <w:sz w:val="24"/>
          <w:szCs w:val="24"/>
        </w:rPr>
      </w:pPr>
      <w:r w:rsidRPr="00251C4D">
        <w:rPr>
          <w:rFonts w:cstheme="minorHAnsi"/>
          <w:sz w:val="24"/>
          <w:szCs w:val="24"/>
        </w:rPr>
        <w:t>The Benn Archive</w:t>
      </w:r>
    </w:p>
    <w:p w14:paraId="5A7E6AA8" w14:textId="77777777" w:rsidR="00251C4D" w:rsidRDefault="00251C4D" w:rsidP="00251C4D">
      <w:pPr>
        <w:pStyle w:val="ListParagraph"/>
        <w:spacing w:after="0"/>
        <w:rPr>
          <w:rFonts w:cstheme="minorHAnsi"/>
          <w:sz w:val="24"/>
          <w:szCs w:val="24"/>
        </w:rPr>
      </w:pPr>
    </w:p>
    <w:p w14:paraId="4BE402B8" w14:textId="0C021EAF" w:rsidR="00251C4D" w:rsidRPr="00251C4D" w:rsidRDefault="00251C4D" w:rsidP="00251C4D">
      <w:pPr>
        <w:pStyle w:val="ListParagraph"/>
        <w:spacing w:after="0"/>
        <w:rPr>
          <w:rFonts w:cstheme="minorHAnsi"/>
          <w:sz w:val="24"/>
          <w:szCs w:val="24"/>
        </w:rPr>
      </w:pPr>
      <w:r>
        <w:rPr>
          <w:rFonts w:cstheme="minorHAnsi"/>
          <w:sz w:val="24"/>
          <w:szCs w:val="24"/>
        </w:rPr>
        <w:t xml:space="preserve">Abstracts (up to 300 words) and biographies (up to 100 words) should be submitted in Word </w:t>
      </w:r>
      <w:r w:rsidRPr="00251C4D">
        <w:rPr>
          <w:rFonts w:cstheme="minorHAnsi"/>
          <w:color w:val="000000" w:themeColor="text1"/>
          <w:sz w:val="24"/>
          <w:szCs w:val="24"/>
        </w:rPr>
        <w:t>to</w:t>
      </w:r>
      <w:r w:rsidR="00D33CD1">
        <w:rPr>
          <w:rFonts w:cstheme="minorHAnsi"/>
          <w:color w:val="000000" w:themeColor="text1"/>
          <w:sz w:val="24"/>
          <w:szCs w:val="24"/>
        </w:rPr>
        <w:t xml:space="preserve"> Pippa Catterall and Jad Adams:</w:t>
      </w:r>
      <w:r w:rsidR="00B26347">
        <w:rPr>
          <w:rFonts w:cstheme="minorHAnsi"/>
          <w:color w:val="000000" w:themeColor="text1"/>
          <w:sz w:val="24"/>
          <w:szCs w:val="24"/>
        </w:rPr>
        <w:t xml:space="preserve"> </w:t>
      </w:r>
      <w:hyperlink r:id="rId8" w:history="1">
        <w:r w:rsidR="00B26347" w:rsidRPr="00BE448C">
          <w:rPr>
            <w:rStyle w:val="Hyperlink"/>
            <w:rFonts w:cstheme="minorHAnsi"/>
            <w:sz w:val="24"/>
            <w:szCs w:val="24"/>
          </w:rPr>
          <w:t>p.catterall@westminster.ac.uk</w:t>
        </w:r>
      </w:hyperlink>
      <w:r w:rsidR="00B26347">
        <w:rPr>
          <w:rFonts w:cstheme="minorHAnsi"/>
          <w:color w:val="000000" w:themeColor="text1"/>
          <w:sz w:val="24"/>
          <w:szCs w:val="24"/>
        </w:rPr>
        <w:t xml:space="preserve"> and </w:t>
      </w:r>
      <w:hyperlink r:id="rId9" w:history="1">
        <w:r w:rsidR="00B26347" w:rsidRPr="00BE448C">
          <w:rPr>
            <w:rStyle w:val="Hyperlink"/>
            <w:rFonts w:cstheme="minorHAnsi"/>
            <w:sz w:val="24"/>
            <w:szCs w:val="24"/>
          </w:rPr>
          <w:t>jadadams@btinternet.com</w:t>
        </w:r>
      </w:hyperlink>
      <w:r w:rsidR="00B26347">
        <w:rPr>
          <w:rFonts w:cstheme="minorHAnsi"/>
          <w:color w:val="000000" w:themeColor="text1"/>
          <w:sz w:val="24"/>
          <w:szCs w:val="24"/>
        </w:rPr>
        <w:t xml:space="preserve"> by 31 October 2024.</w:t>
      </w:r>
    </w:p>
    <w:sectPr w:rsidR="00251C4D" w:rsidRPr="00251C4D" w:rsidSect="00251C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F6A8A"/>
    <w:multiLevelType w:val="hybridMultilevel"/>
    <w:tmpl w:val="0B30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927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EC"/>
    <w:rsid w:val="00251C4D"/>
    <w:rsid w:val="003131BA"/>
    <w:rsid w:val="00332FEC"/>
    <w:rsid w:val="00536BFC"/>
    <w:rsid w:val="0054768D"/>
    <w:rsid w:val="007630A5"/>
    <w:rsid w:val="007812C1"/>
    <w:rsid w:val="00916E24"/>
    <w:rsid w:val="00B26347"/>
    <w:rsid w:val="00C84AF4"/>
    <w:rsid w:val="00CA1043"/>
    <w:rsid w:val="00D33CD1"/>
    <w:rsid w:val="00F50E9C"/>
    <w:rsid w:val="00FE4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0591"/>
  <w15:chartTrackingRefBased/>
  <w15:docId w15:val="{615315EA-0B7E-40D8-8E19-35A988BF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FE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C4D"/>
    <w:pPr>
      <w:ind w:left="720"/>
      <w:contextualSpacing/>
    </w:pPr>
  </w:style>
  <w:style w:type="character" w:styleId="Hyperlink">
    <w:name w:val="Hyperlink"/>
    <w:basedOn w:val="DefaultParagraphFont"/>
    <w:uiPriority w:val="99"/>
    <w:unhideWhenUsed/>
    <w:rsid w:val="00251C4D"/>
    <w:rPr>
      <w:color w:val="0563C1" w:themeColor="hyperlink"/>
      <w:u w:val="single"/>
    </w:rPr>
  </w:style>
  <w:style w:type="character" w:styleId="UnresolvedMention">
    <w:name w:val="Unresolved Mention"/>
    <w:basedOn w:val="DefaultParagraphFont"/>
    <w:uiPriority w:val="99"/>
    <w:semiHidden/>
    <w:unhideWhenUsed/>
    <w:rsid w:val="00251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atterall@westminster.ac.uk"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dadam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Adams</dc:creator>
  <cp:keywords/>
  <dc:description/>
  <cp:lastModifiedBy>Keith Murphy</cp:lastModifiedBy>
  <cp:revision>2</cp:revision>
  <dcterms:created xsi:type="dcterms:W3CDTF">2024-02-04T10:54:00Z</dcterms:created>
  <dcterms:modified xsi:type="dcterms:W3CDTF">2024-02-04T10:54:00Z</dcterms:modified>
</cp:coreProperties>
</file>